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F30A35">
            <w:pPr>
              <w:rPr>
                <w:rFonts w:ascii="Arial" w:hAnsi="Arial"/>
              </w:rPr>
            </w:pPr>
            <w:r>
              <w:rPr>
                <w:rFonts w:ascii="Arial" w:hAnsi="Arial"/>
              </w:rPr>
              <w:t>4</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31345D" w:rsidRPr="006E6E80" w:rsidRDefault="001A6111">
            <w:pPr>
              <w:rPr>
                <w:rFonts w:ascii="Arial" w:hAnsi="Arial"/>
                <w:b/>
              </w:rPr>
            </w:pPr>
            <w:r>
              <w:rPr>
                <w:rFonts w:ascii="Arial" w:hAnsi="Arial"/>
                <w:b/>
              </w:rPr>
              <w:t>Metal Fabrication Technician</w:t>
            </w:r>
            <w:r w:rsidR="00F30A35">
              <w:rPr>
                <w:rFonts w:ascii="Arial" w:hAnsi="Arial"/>
                <w:b/>
              </w:rPr>
              <w:t xml:space="preserve"> (4051)</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F30A35">
            <w:pPr>
              <w:rPr>
                <w:rFonts w:ascii="Arial" w:hAnsi="Arial" w:cs="Arial"/>
                <w:b/>
              </w:rPr>
            </w:pPr>
            <w:r>
              <w:rPr>
                <w:rFonts w:ascii="Arial" w:hAnsi="Arial" w:cs="Arial"/>
                <w:b/>
              </w:rPr>
              <w:t>Dennis Ochoski</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1A6111" w:rsidP="001A6111">
            <w:pPr>
              <w:rPr>
                <w:rFonts w:ascii="Arial" w:hAnsi="Arial"/>
                <w:b/>
              </w:rPr>
            </w:pPr>
            <w:r>
              <w:rPr>
                <w:rFonts w:ascii="Arial" w:hAnsi="Arial"/>
                <w:b/>
              </w:rPr>
              <w:t>Jan</w:t>
            </w:r>
            <w:r w:rsidR="009503C5">
              <w:rPr>
                <w:rFonts w:ascii="Arial" w:hAnsi="Arial"/>
                <w:b/>
              </w:rPr>
              <w:t xml:space="preserve"> </w:t>
            </w:r>
            <w:r w:rsidR="006E6E80">
              <w:rPr>
                <w:rFonts w:ascii="Arial" w:hAnsi="Arial"/>
                <w:b/>
              </w:rPr>
              <w:t>20</w:t>
            </w:r>
            <w:r w:rsidR="009B507B">
              <w:rPr>
                <w:rFonts w:ascii="Arial" w:hAnsi="Arial"/>
                <w:b/>
              </w:rPr>
              <w:t>1</w:t>
            </w:r>
            <w:r>
              <w:rPr>
                <w:rFonts w:ascii="Arial" w:hAnsi="Arial"/>
                <w:b/>
              </w:rPr>
              <w:t>5</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1A6111" w:rsidP="001A6111">
            <w:pPr>
              <w:rPr>
                <w:rFonts w:ascii="Arial" w:hAnsi="Arial"/>
                <w:b/>
              </w:rPr>
            </w:pPr>
            <w:r>
              <w:rPr>
                <w:rFonts w:ascii="Arial" w:hAnsi="Arial"/>
                <w:b/>
              </w:rPr>
              <w:t>Sept</w:t>
            </w:r>
            <w:r w:rsidR="006E6E80">
              <w:rPr>
                <w:rFonts w:ascii="Arial" w:hAnsi="Arial"/>
                <w:b/>
              </w:rPr>
              <w:t xml:space="preserve"> 20</w:t>
            </w:r>
            <w:r w:rsidR="009B507B">
              <w:rPr>
                <w:rFonts w:ascii="Arial" w:hAnsi="Arial"/>
                <w:b/>
              </w:rPr>
              <w:t>1</w:t>
            </w:r>
            <w:r>
              <w:rPr>
                <w:rFonts w:ascii="Arial" w:hAnsi="Arial"/>
                <w:b/>
              </w:rPr>
              <w:t>4</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CD4AFF" w:rsidP="00833606">
            <w:pPr>
              <w:jc w:val="center"/>
              <w:rPr>
                <w:rFonts w:ascii="Arial" w:hAnsi="Arial"/>
              </w:rPr>
            </w:pPr>
            <w:r>
              <w:rPr>
                <w:rFonts w:ascii="Arial" w:hAnsi="Arial"/>
              </w:rPr>
              <w:t>“Colin Kirkwood”</w:t>
            </w:r>
          </w:p>
        </w:tc>
        <w:tc>
          <w:tcPr>
            <w:tcW w:w="1530" w:type="dxa"/>
          </w:tcPr>
          <w:p w:rsidR="006E6E80" w:rsidRDefault="00CD4AFF">
            <w:pPr>
              <w:rPr>
                <w:rFonts w:ascii="Arial" w:hAnsi="Arial"/>
              </w:rPr>
            </w:pPr>
            <w:r>
              <w:rPr>
                <w:rFonts w:ascii="Arial" w:hAnsi="Arial"/>
              </w:rPr>
              <w:t>Jan/15</w:t>
            </w:r>
            <w:bookmarkStart w:id="0" w:name="_GoBack"/>
            <w:bookmarkEnd w:id="0"/>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503C5">
              <w:rPr>
                <w:rFonts w:ascii="Arial" w:hAnsi="Arial"/>
              </w:rPr>
              <w:t>1</w:t>
            </w:r>
            <w:r w:rsidR="001A6111">
              <w:rPr>
                <w:rFonts w:ascii="Arial" w:hAnsi="Arial"/>
              </w:rPr>
              <w:t>5</w:t>
            </w:r>
            <w:r>
              <w:rPr>
                <w:rFonts w:ascii="Arial" w:hAnsi="Arial"/>
              </w:rPr>
              <w:t xml:space="preserve"> The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contact Colin Kirkwood, Dean</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Environment, Technology</w:t>
            </w:r>
            <w:r w:rsidR="000D1053">
              <w:rPr>
                <w:rFonts w:ascii="Arial" w:hAnsi="Arial"/>
                <w:i/>
                <w:lang w:val="en-GB"/>
              </w:rPr>
              <w:t xml:space="preserve">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w:t>
            </w:r>
            <w:r w:rsidR="00AD48B0">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7310" w:rsidP="00E24558">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 xml:space="preserve">and its’ role in the Technological Revolution. </w:t>
            </w:r>
          </w:p>
          <w:p w:rsidR="00E24558" w:rsidRDefault="00E24558" w:rsidP="00E24558">
            <w:pPr>
              <w:tabs>
                <w:tab w:val="left" w:pos="-720"/>
                <w:tab w:val="left" w:pos="0"/>
                <w:tab w:val="left" w:pos="1485"/>
              </w:tabs>
              <w:suppressAutoHyphen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E24558">
            <w:pPr>
              <w:ind w:left="360"/>
              <w:rPr>
                <w:rFonts w:ascii="Arial" w:hAnsi="Arial" w:cs="Arial"/>
                <w:lang w:val="en-GB"/>
              </w:rPr>
            </w:pPr>
          </w:p>
          <w:p w:rsidR="00101A8A" w:rsidRDefault="00101A8A" w:rsidP="00E24558">
            <w:pPr>
              <w:ind w:left="360"/>
              <w:rPr>
                <w:rFonts w:ascii="Arial" w:hAnsi="Arial" w:cs="Arial"/>
                <w:lang w:val="en-GB"/>
              </w:rPr>
            </w:pPr>
          </w:p>
          <w:p w:rsidR="00101A8A" w:rsidRDefault="00101A8A" w:rsidP="00E24558">
            <w:pPr>
              <w:ind w:left="360"/>
              <w:rPr>
                <w:rFonts w:ascii="Arial" w:hAnsi="Arial" w:cs="Arial"/>
                <w:lang w:val="en-GB"/>
              </w:rPr>
            </w:pPr>
          </w:p>
          <w:p w:rsidR="00101A8A" w:rsidRDefault="00101A8A" w:rsidP="00E24558">
            <w:pPr>
              <w:ind w:left="360"/>
              <w:rPr>
                <w:rFonts w:ascii="Arial" w:hAnsi="Arial" w:cs="Arial"/>
                <w:lang w:val="en-GB"/>
              </w:rPr>
            </w:pP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101A8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p w:rsidR="00101A8A" w:rsidRPr="00664E1A" w:rsidRDefault="00101A8A" w:rsidP="00101A8A">
            <w:pPr>
              <w:ind w:left="360"/>
              <w:rPr>
                <w:rFonts w:ascii="Arial" w:hAnsi="Arial" w:cs="Arial"/>
                <w:b/>
                <w:u w:val="single"/>
                <w:lang w:val="en-G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Pr="00101A8A" w:rsidRDefault="00F1687F" w:rsidP="00101A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b/>
          <w:lang w:val="en-GB"/>
        </w:rPr>
        <w:tab/>
      </w:r>
      <w:r w:rsidR="00C7155E" w:rsidRPr="00256302">
        <w:rPr>
          <w:rFonts w:ascii="Arial" w:hAnsi="Arial" w:cs="Arial"/>
          <w:b/>
          <w:lang w:val="en-GB"/>
        </w:rPr>
        <w:t>Text:</w:t>
      </w:r>
      <w:r w:rsidR="00C7155E">
        <w:rPr>
          <w:rFonts w:ascii="Arial" w:hAnsi="Arial" w:cs="Arial"/>
          <w:lang w:val="en-GB"/>
        </w:rPr>
        <w:tab/>
      </w:r>
      <w:r w:rsidR="00101A8A">
        <w:rPr>
          <w:rFonts w:ascii="Arial" w:hAnsi="Arial" w:cs="Arial"/>
          <w:lang w:val="en-GB"/>
        </w:rPr>
        <w:t>No text required</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on LMS</w:t>
      </w:r>
      <w:r w:rsidR="00BD0327">
        <w:rPr>
          <w:rFonts w:ascii="Arial" w:hAnsi="Arial" w:cs="Arial"/>
          <w:spacing w:val="-3"/>
          <w:lang w:val="en-GB"/>
        </w:rPr>
        <w:t xml:space="preserve"> for the students’ </w:t>
      </w:r>
      <w:r>
        <w:rPr>
          <w:rFonts w:ascii="Arial" w:hAnsi="Arial" w:cs="Arial"/>
          <w:spacing w:val="-3"/>
          <w:lang w:val="en-GB"/>
        </w:rPr>
        <w:t>use.</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996A27" w:rsidRDefault="00657F9B"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r w:rsidR="000A7E5E">
        <w:rPr>
          <w:rFonts w:ascii="Arial" w:hAnsi="Arial" w:cs="Arial"/>
          <w:spacing w:val="-3"/>
          <w:lang w:val="en-GB"/>
        </w:rPr>
        <w:tab/>
        <w:t>Individual Research</w:t>
      </w:r>
      <w:r>
        <w:rPr>
          <w:rFonts w:ascii="Arial" w:hAnsi="Arial" w:cs="Arial"/>
          <w:spacing w:val="-3"/>
          <w:lang w:val="en-GB"/>
        </w:rPr>
        <w:t xml:space="preserve">, </w:t>
      </w:r>
      <w:r w:rsidR="000A7E5E">
        <w:rPr>
          <w:rFonts w:ascii="Arial" w:hAnsi="Arial" w:cs="Arial"/>
          <w:spacing w:val="-3"/>
          <w:lang w:val="en-GB"/>
        </w:rPr>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082A77">
              <w:rPr>
                <w:rFonts w:ascii="Arial" w:hAnsi="Arial" w:cs="Arial"/>
                <w:lang w:val="en-GB"/>
              </w:rPr>
              <w:t>5</w:t>
            </w:r>
            <w:r w:rsidR="00E233A1">
              <w:rPr>
                <w:rFonts w:ascii="Arial" w:hAnsi="Arial" w:cs="Arial"/>
                <w:lang w:val="en-GB"/>
              </w:rPr>
              <w:t>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082A77">
              <w:rPr>
                <w:rFonts w:ascii="Arial" w:hAnsi="Arial" w:cs="Arial"/>
                <w:u w:val="single"/>
                <w:lang w:val="en-GB"/>
              </w:rPr>
              <w:t>5</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D26EC0">
            <w:pPr>
              <w:rPr>
                <w:rFonts w:ascii="Arial" w:hAnsi="Arial"/>
              </w:rPr>
            </w:pPr>
            <w:r>
              <w:rPr>
                <w:rFonts w:ascii="Arial" w:hAnsi="Arial"/>
              </w:rPr>
              <w:t>The following semester grades will be assigned to students in postsecondary courses:</w:t>
            </w: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657F9B">
            <w:pP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6064BE" w:rsidRPr="00B35183" w:rsidRDefault="006064BE"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r w:rsidR="003346D8">
        <w:rPr>
          <w:rFonts w:ascii="Arial" w:hAnsi="Arial" w:cs="Arial"/>
          <w:lang w:val="en-GB"/>
        </w:rPr>
        <w:t xml:space="preserve"> without valid reason</w:t>
      </w:r>
      <w:r w:rsidR="000D1053">
        <w:rPr>
          <w:rFonts w:ascii="Arial" w:hAnsi="Arial" w:cs="Arial"/>
          <w:lang w:val="en-GB"/>
        </w:rPr>
        <w:t>.</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9C1E2C" w:rsidRPr="009C1E2C" w:rsidRDefault="009C1E2C" w:rsidP="009C1E2C">
            <w:pPr>
              <w:rPr>
                <w:rFonts w:ascii="Arial" w:hAnsi="Arial" w:cs="Arial"/>
                <w:szCs w:val="24"/>
              </w:rPr>
            </w:pPr>
            <w:r w:rsidRPr="009C1E2C">
              <w:rPr>
                <w:rFonts w:ascii="Arial" w:hAnsi="Arial" w:cs="Arial"/>
                <w:szCs w:val="24"/>
              </w:rPr>
              <w:b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bl>
    <w:p w:rsidR="00F323F9" w:rsidRDefault="00F323F9" w:rsidP="00F323F9">
      <w:pPr>
        <w:jc w:val="center"/>
        <w:rPr>
          <w:rFonts w:ascii="Arial" w:hAnsi="Arial" w:cs="Arial"/>
          <w:b/>
        </w:rPr>
      </w:pPr>
    </w:p>
    <w:p w:rsidR="00F323F9" w:rsidRDefault="00F323F9">
      <w:pPr>
        <w:rPr>
          <w:rFonts w:ascii="Arial" w:hAnsi="Arial" w:cs="Arial"/>
          <w:b/>
        </w:rPr>
      </w:pPr>
      <w:r>
        <w:rPr>
          <w:rFonts w:ascii="Arial" w:hAnsi="Arial" w:cs="Arial"/>
          <w:b/>
        </w:rPr>
        <w:br w:type="page"/>
      </w:r>
    </w:p>
    <w:p w:rsidR="00F323F9" w:rsidRDefault="00F323F9" w:rsidP="00F323F9">
      <w:pPr>
        <w:jc w:val="center"/>
        <w:rPr>
          <w:rFonts w:ascii="Arial" w:hAnsi="Arial" w:cs="Arial"/>
          <w:b/>
        </w:rPr>
      </w:pPr>
    </w:p>
    <w:p w:rsidR="00F323F9" w:rsidRPr="005412D5" w:rsidRDefault="00F323F9" w:rsidP="00F323F9">
      <w:pPr>
        <w:jc w:val="center"/>
        <w:rPr>
          <w:rFonts w:ascii="Arial" w:hAnsi="Arial" w:cs="Arial"/>
          <w:b/>
        </w:rPr>
      </w:pPr>
      <w:r w:rsidRPr="005412D5">
        <w:rPr>
          <w:rFonts w:ascii="Arial" w:hAnsi="Arial" w:cs="Arial"/>
          <w:b/>
        </w:rPr>
        <w:t>COURSE OUTLINE ADDENDUM</w:t>
      </w:r>
    </w:p>
    <w:p w:rsidR="00F323F9" w:rsidRDefault="00F323F9" w:rsidP="00F323F9"/>
    <w:tbl>
      <w:tblPr>
        <w:tblW w:w="10632" w:type="dxa"/>
        <w:tblInd w:w="-601" w:type="dxa"/>
        <w:tblLayout w:type="fixed"/>
        <w:tblLook w:val="0000" w:firstRow="0" w:lastRow="0" w:firstColumn="0" w:lastColumn="0" w:noHBand="0" w:noVBand="0"/>
      </w:tblPr>
      <w:tblGrid>
        <w:gridCol w:w="567"/>
        <w:gridCol w:w="10065"/>
      </w:tblGrid>
      <w:tr w:rsidR="00F323F9" w:rsidTr="00CA1D9F">
        <w:trPr>
          <w:cantSplit/>
        </w:trPr>
        <w:tc>
          <w:tcPr>
            <w:tcW w:w="567" w:type="dxa"/>
          </w:tcPr>
          <w:p w:rsidR="00F323F9" w:rsidRDefault="00F323F9" w:rsidP="00CA1D9F">
            <w:pPr>
              <w:rPr>
                <w:rFonts w:ascii="Arial" w:hAnsi="Arial"/>
              </w:rPr>
            </w:pPr>
            <w:r>
              <w:rPr>
                <w:rFonts w:ascii="Arial" w:hAnsi="Arial"/>
              </w:rPr>
              <w:t>1.</w:t>
            </w:r>
          </w:p>
        </w:tc>
        <w:tc>
          <w:tcPr>
            <w:tcW w:w="10065" w:type="dxa"/>
          </w:tcPr>
          <w:p w:rsidR="00F323F9" w:rsidRPr="00B85227" w:rsidRDefault="00F323F9" w:rsidP="00CA1D9F">
            <w:pPr>
              <w:rPr>
                <w:rFonts w:ascii="Arial" w:hAnsi="Arial"/>
              </w:rPr>
            </w:pPr>
            <w:r w:rsidRPr="00B85227">
              <w:rPr>
                <w:rFonts w:ascii="Arial" w:hAnsi="Arial"/>
                <w:u w:val="single"/>
              </w:rPr>
              <w:t>Course Outline Amendments</w:t>
            </w:r>
            <w:r w:rsidRPr="00B85227">
              <w:rPr>
                <w:rFonts w:ascii="Arial" w:hAnsi="Arial"/>
              </w:rPr>
              <w:t>:</w:t>
            </w:r>
          </w:p>
          <w:p w:rsidR="00F323F9" w:rsidRPr="00B85227" w:rsidRDefault="00F323F9" w:rsidP="00CA1D9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2.</w:t>
            </w:r>
          </w:p>
        </w:tc>
        <w:tc>
          <w:tcPr>
            <w:tcW w:w="10065" w:type="dxa"/>
          </w:tcPr>
          <w:p w:rsidR="00F323F9" w:rsidRPr="00B85227" w:rsidRDefault="00F323F9" w:rsidP="00CA1D9F">
            <w:pPr>
              <w:rPr>
                <w:rFonts w:ascii="Arial" w:hAnsi="Arial"/>
              </w:rPr>
            </w:pPr>
            <w:r w:rsidRPr="00B85227">
              <w:rPr>
                <w:rFonts w:ascii="Arial" w:hAnsi="Arial"/>
                <w:u w:val="single"/>
              </w:rPr>
              <w:t>Retention of Course Outlines</w:t>
            </w:r>
            <w:r w:rsidRPr="00B85227">
              <w:rPr>
                <w:rFonts w:ascii="Arial" w:hAnsi="Arial"/>
              </w:rPr>
              <w:t>:</w:t>
            </w:r>
          </w:p>
          <w:p w:rsidR="00F323F9" w:rsidRPr="00B85227" w:rsidRDefault="00F323F9" w:rsidP="00CA1D9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3.</w:t>
            </w:r>
          </w:p>
        </w:tc>
        <w:tc>
          <w:tcPr>
            <w:tcW w:w="10065" w:type="dxa"/>
          </w:tcPr>
          <w:p w:rsidR="00F323F9" w:rsidRPr="00B85227" w:rsidRDefault="00F323F9" w:rsidP="00CA1D9F">
            <w:pPr>
              <w:rPr>
                <w:rFonts w:ascii="Arial" w:hAnsi="Arial"/>
                <w:b/>
              </w:rPr>
            </w:pPr>
            <w:r w:rsidRPr="00B85227">
              <w:rPr>
                <w:rFonts w:ascii="Arial" w:hAnsi="Arial"/>
                <w:u w:val="single"/>
              </w:rPr>
              <w:t>Prior Learning Assessment</w:t>
            </w:r>
            <w:r w:rsidRPr="00B85227">
              <w:rPr>
                <w:rFonts w:ascii="Arial" w:hAnsi="Arial"/>
                <w:b/>
              </w:rPr>
              <w:t>:</w:t>
            </w:r>
          </w:p>
          <w:p w:rsidR="00F323F9" w:rsidRPr="00B85227" w:rsidRDefault="00F323F9" w:rsidP="00CA1D9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Credit for prior learning will also be given upon successful completion of a challenge exam or portfolio.</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Substitute course information is available in the Registrar's office.</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4.</w:t>
            </w:r>
          </w:p>
        </w:tc>
        <w:tc>
          <w:tcPr>
            <w:tcW w:w="10065" w:type="dxa"/>
          </w:tcPr>
          <w:p w:rsidR="00F323F9" w:rsidRPr="00B85227" w:rsidRDefault="00F323F9" w:rsidP="00CA1D9F">
            <w:pPr>
              <w:rPr>
                <w:rFonts w:ascii="Arial" w:hAnsi="Arial"/>
              </w:rPr>
            </w:pPr>
            <w:r w:rsidRPr="00B85227">
              <w:rPr>
                <w:rFonts w:ascii="Arial" w:hAnsi="Arial"/>
                <w:u w:val="single"/>
              </w:rPr>
              <w:t>Accessibility Services</w:t>
            </w:r>
            <w:r w:rsidRPr="00B85227">
              <w:rPr>
                <w:rFonts w:ascii="Arial" w:hAnsi="Arial"/>
              </w:rPr>
              <w:t>:</w:t>
            </w:r>
          </w:p>
          <w:p w:rsidR="00F323F9" w:rsidRPr="00B85227" w:rsidRDefault="00F323F9" w:rsidP="00CA1D9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5.</w:t>
            </w:r>
          </w:p>
        </w:tc>
        <w:tc>
          <w:tcPr>
            <w:tcW w:w="10065" w:type="dxa"/>
          </w:tcPr>
          <w:p w:rsidR="00F323F9" w:rsidRPr="00B85227" w:rsidRDefault="00F323F9" w:rsidP="00CA1D9F">
            <w:pPr>
              <w:rPr>
                <w:rFonts w:ascii="Arial" w:hAnsi="Arial"/>
                <w:u w:val="single"/>
              </w:rPr>
            </w:pPr>
            <w:r w:rsidRPr="00B85227">
              <w:rPr>
                <w:rFonts w:ascii="Arial" w:hAnsi="Arial"/>
                <w:u w:val="single"/>
              </w:rPr>
              <w:t>Communication:</w:t>
            </w:r>
          </w:p>
          <w:p w:rsidR="00F323F9" w:rsidRPr="00B85227" w:rsidRDefault="00F323F9" w:rsidP="00CA1D9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lastRenderedPageBreak/>
              <w:t>6.</w:t>
            </w:r>
          </w:p>
        </w:tc>
        <w:tc>
          <w:tcPr>
            <w:tcW w:w="10065" w:type="dxa"/>
          </w:tcPr>
          <w:p w:rsidR="00F323F9" w:rsidRPr="00B85227" w:rsidRDefault="00F323F9" w:rsidP="00CA1D9F">
            <w:pPr>
              <w:rPr>
                <w:rFonts w:ascii="Arial" w:hAnsi="Arial"/>
              </w:rPr>
            </w:pPr>
            <w:r w:rsidRPr="00B85227">
              <w:rPr>
                <w:rFonts w:ascii="Arial" w:hAnsi="Arial"/>
                <w:u w:val="single"/>
              </w:rPr>
              <w:t>Academic Dishonesty</w:t>
            </w:r>
            <w:r w:rsidRPr="00B85227">
              <w:rPr>
                <w:rFonts w:ascii="Arial" w:hAnsi="Arial"/>
              </w:rPr>
              <w:t>:</w:t>
            </w:r>
          </w:p>
          <w:p w:rsidR="00F323F9" w:rsidRPr="00B85227" w:rsidRDefault="00F323F9" w:rsidP="00CA1D9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7.</w:t>
            </w:r>
          </w:p>
        </w:tc>
        <w:tc>
          <w:tcPr>
            <w:tcW w:w="10065" w:type="dxa"/>
          </w:tcPr>
          <w:p w:rsidR="00F323F9" w:rsidRPr="00B85227" w:rsidRDefault="00F323F9" w:rsidP="00CA1D9F">
            <w:pPr>
              <w:rPr>
                <w:rFonts w:ascii="Arial" w:hAnsi="Arial" w:cs="Arial"/>
                <w:szCs w:val="24"/>
                <w:u w:val="single"/>
              </w:rPr>
            </w:pPr>
            <w:r w:rsidRPr="00B85227">
              <w:rPr>
                <w:rFonts w:ascii="Arial" w:hAnsi="Arial" w:cs="Arial"/>
                <w:szCs w:val="24"/>
                <w:u w:val="single"/>
              </w:rPr>
              <w:t>Tuition Default:</w:t>
            </w:r>
          </w:p>
          <w:p w:rsidR="00F323F9" w:rsidRPr="00B85227" w:rsidRDefault="00F323F9" w:rsidP="00CA1D9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8.</w:t>
            </w:r>
          </w:p>
        </w:tc>
        <w:tc>
          <w:tcPr>
            <w:tcW w:w="10065" w:type="dxa"/>
          </w:tcPr>
          <w:p w:rsidR="00F323F9" w:rsidRPr="002D240A" w:rsidRDefault="00F323F9" w:rsidP="00CA1D9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23F9" w:rsidRDefault="00F323F9" w:rsidP="00CA1D9F">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23F9" w:rsidRPr="00723208" w:rsidRDefault="00F323F9" w:rsidP="00CA1D9F">
            <w:pPr>
              <w:rPr>
                <w:rFonts w:ascii="Arial" w:hAnsi="Arial" w:cs="Arial"/>
                <w:b/>
                <w:i/>
                <w:iCs/>
                <w:color w:val="000000"/>
                <w:szCs w:val="24"/>
              </w:rPr>
            </w:pPr>
            <w:r>
              <w:rPr>
                <w:i/>
                <w:sz w:val="20"/>
              </w:rPr>
              <w:t xml:space="preserve"> </w:t>
            </w:r>
          </w:p>
        </w:tc>
      </w:tr>
      <w:tr w:rsidR="00F323F9" w:rsidTr="00CA1D9F">
        <w:trPr>
          <w:cantSplit/>
        </w:trPr>
        <w:tc>
          <w:tcPr>
            <w:tcW w:w="567" w:type="dxa"/>
          </w:tcPr>
          <w:p w:rsidR="00F323F9" w:rsidRDefault="00F323F9" w:rsidP="00CA1D9F">
            <w:pPr>
              <w:rPr>
                <w:rFonts w:ascii="Arial" w:hAnsi="Arial"/>
              </w:rPr>
            </w:pPr>
            <w:r>
              <w:rPr>
                <w:rFonts w:ascii="Arial" w:hAnsi="Arial"/>
              </w:rPr>
              <w:t>9.</w:t>
            </w:r>
          </w:p>
        </w:tc>
        <w:tc>
          <w:tcPr>
            <w:tcW w:w="10065" w:type="dxa"/>
          </w:tcPr>
          <w:p w:rsidR="00F323F9" w:rsidRPr="0004491B" w:rsidRDefault="00F323F9" w:rsidP="00CA1D9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F323F9" w:rsidRDefault="00F323F9" w:rsidP="00CA1D9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23F9" w:rsidRPr="00723208" w:rsidRDefault="00F323F9" w:rsidP="00CA1D9F">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CD4AFF">
      <w:rPr>
        <w:rStyle w:val="PageNumber"/>
        <w:b/>
        <w:noProof/>
      </w:rPr>
      <w:t>8</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82A77"/>
    <w:rsid w:val="000955EE"/>
    <w:rsid w:val="000A6B10"/>
    <w:rsid w:val="000A7E5E"/>
    <w:rsid w:val="000C5595"/>
    <w:rsid w:val="000D1053"/>
    <w:rsid w:val="000D72E6"/>
    <w:rsid w:val="000E3085"/>
    <w:rsid w:val="00101A8A"/>
    <w:rsid w:val="0017194C"/>
    <w:rsid w:val="001874C7"/>
    <w:rsid w:val="00191980"/>
    <w:rsid w:val="0019517C"/>
    <w:rsid w:val="001A6111"/>
    <w:rsid w:val="001C4A10"/>
    <w:rsid w:val="001C5CDA"/>
    <w:rsid w:val="001E5832"/>
    <w:rsid w:val="00204C89"/>
    <w:rsid w:val="00256302"/>
    <w:rsid w:val="00281C13"/>
    <w:rsid w:val="002B41BC"/>
    <w:rsid w:val="0031345D"/>
    <w:rsid w:val="003346D8"/>
    <w:rsid w:val="0033595B"/>
    <w:rsid w:val="003409F3"/>
    <w:rsid w:val="00360DA9"/>
    <w:rsid w:val="0037085A"/>
    <w:rsid w:val="003942F8"/>
    <w:rsid w:val="003B6D54"/>
    <w:rsid w:val="0040425F"/>
    <w:rsid w:val="004216B9"/>
    <w:rsid w:val="0043202F"/>
    <w:rsid w:val="00432041"/>
    <w:rsid w:val="00440EFE"/>
    <w:rsid w:val="004738B9"/>
    <w:rsid w:val="0048092B"/>
    <w:rsid w:val="004D3B50"/>
    <w:rsid w:val="004E2E7D"/>
    <w:rsid w:val="00517548"/>
    <w:rsid w:val="00522767"/>
    <w:rsid w:val="00537C58"/>
    <w:rsid w:val="005502E6"/>
    <w:rsid w:val="00560C9B"/>
    <w:rsid w:val="00572B2B"/>
    <w:rsid w:val="005C1816"/>
    <w:rsid w:val="005D5EFA"/>
    <w:rsid w:val="005F6E25"/>
    <w:rsid w:val="00605A20"/>
    <w:rsid w:val="006064BE"/>
    <w:rsid w:val="00626C24"/>
    <w:rsid w:val="00630183"/>
    <w:rsid w:val="00645591"/>
    <w:rsid w:val="00657F9B"/>
    <w:rsid w:val="00664E1A"/>
    <w:rsid w:val="006844D9"/>
    <w:rsid w:val="0069120A"/>
    <w:rsid w:val="006972F9"/>
    <w:rsid w:val="006D6E6F"/>
    <w:rsid w:val="006E6E80"/>
    <w:rsid w:val="006F553B"/>
    <w:rsid w:val="00702F72"/>
    <w:rsid w:val="007070AE"/>
    <w:rsid w:val="007212E4"/>
    <w:rsid w:val="00721FF2"/>
    <w:rsid w:val="0073434C"/>
    <w:rsid w:val="007376D1"/>
    <w:rsid w:val="00774F45"/>
    <w:rsid w:val="007A6B0C"/>
    <w:rsid w:val="007B3B43"/>
    <w:rsid w:val="007C165E"/>
    <w:rsid w:val="007C1E11"/>
    <w:rsid w:val="007C6C2B"/>
    <w:rsid w:val="007F132C"/>
    <w:rsid w:val="00801C68"/>
    <w:rsid w:val="00824649"/>
    <w:rsid w:val="00833606"/>
    <w:rsid w:val="00856F36"/>
    <w:rsid w:val="00895B45"/>
    <w:rsid w:val="008C09DE"/>
    <w:rsid w:val="00911B7D"/>
    <w:rsid w:val="00921726"/>
    <w:rsid w:val="0092209E"/>
    <w:rsid w:val="009469DA"/>
    <w:rsid w:val="00946C71"/>
    <w:rsid w:val="009503C5"/>
    <w:rsid w:val="00996A27"/>
    <w:rsid w:val="009A43FC"/>
    <w:rsid w:val="009B507B"/>
    <w:rsid w:val="009C1470"/>
    <w:rsid w:val="009C1E2C"/>
    <w:rsid w:val="009C2686"/>
    <w:rsid w:val="009D51B4"/>
    <w:rsid w:val="00A21466"/>
    <w:rsid w:val="00AD1406"/>
    <w:rsid w:val="00AD48B0"/>
    <w:rsid w:val="00AE01C8"/>
    <w:rsid w:val="00B0173D"/>
    <w:rsid w:val="00B044B3"/>
    <w:rsid w:val="00B35183"/>
    <w:rsid w:val="00B414AE"/>
    <w:rsid w:val="00B6383D"/>
    <w:rsid w:val="00B767BA"/>
    <w:rsid w:val="00B835FC"/>
    <w:rsid w:val="00BC6341"/>
    <w:rsid w:val="00BD0327"/>
    <w:rsid w:val="00BE4A27"/>
    <w:rsid w:val="00C500A8"/>
    <w:rsid w:val="00C61ACF"/>
    <w:rsid w:val="00C7155E"/>
    <w:rsid w:val="00CD263E"/>
    <w:rsid w:val="00CD4AFF"/>
    <w:rsid w:val="00D04C83"/>
    <w:rsid w:val="00D1300B"/>
    <w:rsid w:val="00D215BC"/>
    <w:rsid w:val="00D26EC0"/>
    <w:rsid w:val="00D3272B"/>
    <w:rsid w:val="00D334EE"/>
    <w:rsid w:val="00D619E4"/>
    <w:rsid w:val="00D72A80"/>
    <w:rsid w:val="00DB3710"/>
    <w:rsid w:val="00DE32C3"/>
    <w:rsid w:val="00DF383B"/>
    <w:rsid w:val="00E0497D"/>
    <w:rsid w:val="00E126C7"/>
    <w:rsid w:val="00E233A1"/>
    <w:rsid w:val="00E24124"/>
    <w:rsid w:val="00E24527"/>
    <w:rsid w:val="00E24558"/>
    <w:rsid w:val="00E25868"/>
    <w:rsid w:val="00E34AD1"/>
    <w:rsid w:val="00E93467"/>
    <w:rsid w:val="00EB5138"/>
    <w:rsid w:val="00EF179D"/>
    <w:rsid w:val="00F01C3E"/>
    <w:rsid w:val="00F1687F"/>
    <w:rsid w:val="00F30A35"/>
    <w:rsid w:val="00F323F9"/>
    <w:rsid w:val="00F838EC"/>
    <w:rsid w:val="00F87310"/>
    <w:rsid w:val="00F907FD"/>
    <w:rsid w:val="00FC286F"/>
    <w:rsid w:val="00FE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B675D-C1CE-4E36-BD76-2D9FD267EF45}"/>
</file>

<file path=customXml/itemProps2.xml><?xml version="1.0" encoding="utf-8"?>
<ds:datastoreItem xmlns:ds="http://schemas.openxmlformats.org/officeDocument/2006/customXml" ds:itemID="{867EDB83-1F49-4DFC-9F98-B5156DE07331}"/>
</file>

<file path=customXml/itemProps3.xml><?xml version="1.0" encoding="utf-8"?>
<ds:datastoreItem xmlns:ds="http://schemas.openxmlformats.org/officeDocument/2006/customXml" ds:itemID="{A0608324-A7FC-4A39-8425-12DA4A2D3DAD}"/>
</file>

<file path=docProps/app.xml><?xml version="1.0" encoding="utf-8"?>
<Properties xmlns="http://schemas.openxmlformats.org/officeDocument/2006/extended-properties" xmlns:vt="http://schemas.openxmlformats.org/officeDocument/2006/docPropsVTypes">
  <Template>Normal.dotm</Template>
  <TotalTime>3</TotalTime>
  <Pages>8</Pages>
  <Words>1960</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2015-01-09T16:29:00Z</cp:lastPrinted>
  <dcterms:created xsi:type="dcterms:W3CDTF">2015-01-09T16:27:00Z</dcterms:created>
  <dcterms:modified xsi:type="dcterms:W3CDTF">2015-01-09T16:30:00Z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6205200</vt:r8>
  </property>
</Properties>
</file>